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CF993" w14:textId="77777777" w:rsidR="00D64AD2" w:rsidRDefault="00D64AD2" w:rsidP="00D64AD2">
      <w:pPr>
        <w:pStyle w:val="Normalcentr"/>
        <w:jc w:val="center"/>
        <w:rPr>
          <w:rFonts w:ascii="Marianne" w:hAnsi="Marianne"/>
          <w:b/>
          <w:bCs/>
          <w:szCs w:val="24"/>
        </w:rPr>
      </w:pPr>
    </w:p>
    <w:p w14:paraId="7BA384E3" w14:textId="0BB2F490" w:rsidR="00D64AD2" w:rsidRPr="00D64AD2" w:rsidRDefault="00D64AD2" w:rsidP="00D64AD2">
      <w:pPr>
        <w:pStyle w:val="Normalcentr"/>
        <w:jc w:val="center"/>
        <w:rPr>
          <w:rFonts w:ascii="Marianne" w:hAnsi="Marianne"/>
          <w:b/>
          <w:bCs/>
          <w:szCs w:val="24"/>
        </w:rPr>
      </w:pPr>
      <w:r w:rsidRPr="00D64AD2">
        <w:rPr>
          <w:rFonts w:ascii="Marianne" w:hAnsi="Marianne"/>
          <w:b/>
          <w:bCs/>
          <w:szCs w:val="24"/>
        </w:rPr>
        <w:t>Déclaration d’</w:t>
      </w:r>
      <w:r>
        <w:rPr>
          <w:rFonts w:ascii="Marianne" w:hAnsi="Marianne"/>
          <w:b/>
          <w:bCs/>
          <w:szCs w:val="24"/>
        </w:rPr>
        <w:t>i</w:t>
      </w:r>
      <w:r w:rsidRPr="00D64AD2">
        <w:rPr>
          <w:rFonts w:ascii="Marianne" w:hAnsi="Marianne"/>
          <w:b/>
          <w:bCs/>
          <w:szCs w:val="24"/>
        </w:rPr>
        <w:t>ntégrité, d’</w:t>
      </w:r>
      <w:r>
        <w:rPr>
          <w:rFonts w:ascii="Marianne" w:hAnsi="Marianne"/>
          <w:b/>
          <w:bCs/>
          <w:szCs w:val="24"/>
        </w:rPr>
        <w:t>é</w:t>
      </w:r>
      <w:r w:rsidRPr="00D64AD2">
        <w:rPr>
          <w:rFonts w:ascii="Marianne" w:hAnsi="Marianne"/>
          <w:b/>
          <w:bCs/>
          <w:szCs w:val="24"/>
        </w:rPr>
        <w:t xml:space="preserve">ligibilité et de </w:t>
      </w:r>
      <w:r>
        <w:rPr>
          <w:rFonts w:ascii="Marianne" w:hAnsi="Marianne"/>
          <w:b/>
          <w:bCs/>
          <w:szCs w:val="24"/>
        </w:rPr>
        <w:t>r</w:t>
      </w:r>
      <w:r w:rsidRPr="00D64AD2">
        <w:rPr>
          <w:rFonts w:ascii="Marianne" w:hAnsi="Marianne"/>
          <w:b/>
          <w:bCs/>
          <w:szCs w:val="24"/>
        </w:rPr>
        <w:t xml:space="preserve">esponsabilité </w:t>
      </w:r>
      <w:r>
        <w:rPr>
          <w:rFonts w:ascii="Marianne" w:hAnsi="Marianne"/>
          <w:b/>
          <w:bCs/>
          <w:szCs w:val="24"/>
        </w:rPr>
        <w:t>e</w:t>
      </w:r>
      <w:r w:rsidRPr="00D64AD2">
        <w:rPr>
          <w:rFonts w:ascii="Marianne" w:hAnsi="Marianne"/>
          <w:b/>
          <w:bCs/>
          <w:szCs w:val="24"/>
        </w:rPr>
        <w:t xml:space="preserve">nvironnementale et </w:t>
      </w:r>
      <w:r>
        <w:rPr>
          <w:rFonts w:ascii="Marianne" w:hAnsi="Marianne"/>
          <w:b/>
          <w:bCs/>
          <w:szCs w:val="24"/>
        </w:rPr>
        <w:t>s</w:t>
      </w:r>
      <w:r w:rsidRPr="00D64AD2">
        <w:rPr>
          <w:rFonts w:ascii="Marianne" w:hAnsi="Marianne"/>
          <w:b/>
          <w:bCs/>
          <w:szCs w:val="24"/>
        </w:rPr>
        <w:t>ociale</w:t>
      </w:r>
    </w:p>
    <w:p w14:paraId="285262C2" w14:textId="77777777" w:rsidR="00D64AD2" w:rsidRPr="00D64AD2" w:rsidRDefault="00D64AD2" w:rsidP="006D5757">
      <w:pPr>
        <w:autoSpaceDE w:val="0"/>
        <w:autoSpaceDN w:val="0"/>
        <w:adjustRightInd w:val="0"/>
        <w:spacing w:before="142" w:line="240" w:lineRule="atLeast"/>
        <w:rPr>
          <w:rFonts w:ascii="Marianne" w:hAnsi="Marianne"/>
          <w:sz w:val="24"/>
          <w:szCs w:val="24"/>
          <w:lang w:eastAsia="en-GB"/>
        </w:rPr>
      </w:pPr>
    </w:p>
    <w:p w14:paraId="1C8DDC6A" w14:textId="5A94D635" w:rsidR="006D5757" w:rsidRPr="00D64AD2" w:rsidRDefault="006D5757" w:rsidP="006D5757">
      <w:pPr>
        <w:autoSpaceDE w:val="0"/>
        <w:autoSpaceDN w:val="0"/>
        <w:adjustRightInd w:val="0"/>
        <w:spacing w:before="142" w:line="240" w:lineRule="atLeast"/>
        <w:rPr>
          <w:rFonts w:ascii="Marianne" w:hAnsi="Marianne"/>
          <w:lang w:eastAsia="en-US"/>
        </w:rPr>
      </w:pPr>
      <w:r w:rsidRPr="00D64AD2">
        <w:rPr>
          <w:rFonts w:ascii="Marianne" w:hAnsi="Marianne"/>
          <w:lang w:eastAsia="en-GB"/>
        </w:rPr>
        <w:t>Intitulé de l’offre ou de la proposition</w:t>
      </w:r>
      <w:r w:rsidRPr="00D64AD2">
        <w:rPr>
          <w:rFonts w:ascii="Cambria" w:hAnsi="Cambria" w:cs="Cambria"/>
          <w:lang w:eastAsia="en-GB"/>
        </w:rPr>
        <w:t> </w:t>
      </w:r>
      <w:r w:rsidRPr="00D64AD2">
        <w:rPr>
          <w:rFonts w:ascii="Marianne" w:hAnsi="Marianne"/>
          <w:lang w:eastAsia="en-GB"/>
        </w:rPr>
        <w:t xml:space="preserve">: </w:t>
      </w:r>
      <w:r w:rsidR="003515AD">
        <w:rPr>
          <w:rFonts w:ascii="Marianne" w:hAnsi="Marianne"/>
          <w:lang w:eastAsia="en-GB"/>
        </w:rPr>
        <w:t xml:space="preserve">Réalisation d’une étude sur la légine par la méthode de l’épigénétique dans le cadre du Projet MARIO </w:t>
      </w:r>
      <w:r w:rsidRPr="00D64AD2">
        <w:rPr>
          <w:rFonts w:ascii="Marianne" w:hAnsi="Marianne"/>
          <w:lang w:eastAsia="en-GB"/>
        </w:rPr>
        <w:t>(le "</w:t>
      </w:r>
      <w:r w:rsidRPr="00D64AD2">
        <w:rPr>
          <w:rFonts w:ascii="Marianne" w:hAnsi="Marianne"/>
          <w:b/>
          <w:lang w:eastAsia="en-GB"/>
        </w:rPr>
        <w:t>Marché</w:t>
      </w:r>
      <w:r w:rsidRPr="00D64AD2">
        <w:rPr>
          <w:rFonts w:ascii="Marianne" w:hAnsi="Marianne"/>
          <w:lang w:eastAsia="en-GB"/>
        </w:rPr>
        <w:t>"</w:t>
      </w:r>
      <w:r w:rsidRPr="00D64AD2">
        <w:rPr>
          <w:rFonts w:ascii="Marianne" w:hAnsi="Marianne"/>
          <w:vertAlign w:val="superscript"/>
          <w:lang w:eastAsia="en-GB"/>
        </w:rPr>
        <w:footnoteReference w:id="1"/>
      </w:r>
      <w:r w:rsidRPr="00D64AD2">
        <w:rPr>
          <w:rFonts w:ascii="Marianne" w:hAnsi="Marianne"/>
          <w:lang w:eastAsia="en-GB"/>
        </w:rPr>
        <w:t>)</w:t>
      </w:r>
    </w:p>
    <w:p w14:paraId="094D8429" w14:textId="70DD6385" w:rsidR="006D5757" w:rsidRPr="00D64AD2" w:rsidRDefault="006D5757" w:rsidP="006D5757">
      <w:pPr>
        <w:autoSpaceDE w:val="0"/>
        <w:autoSpaceDN w:val="0"/>
        <w:adjustRightInd w:val="0"/>
        <w:spacing w:before="142" w:line="240" w:lineRule="atLeast"/>
        <w:rPr>
          <w:rFonts w:ascii="Marianne" w:hAnsi="Marianne"/>
          <w:lang w:val="en-US" w:eastAsia="en-GB"/>
        </w:rPr>
      </w:pPr>
      <w:r w:rsidRPr="00D64AD2">
        <w:rPr>
          <w:rFonts w:ascii="Marianne" w:hAnsi="Marianne"/>
          <w:lang w:eastAsia="en-GB"/>
        </w:rPr>
        <w:t>A</w:t>
      </w:r>
      <w:r w:rsidRPr="00D64AD2">
        <w:rPr>
          <w:rFonts w:ascii="Cambria" w:hAnsi="Cambria" w:cs="Cambria"/>
          <w:lang w:eastAsia="en-GB"/>
        </w:rPr>
        <w:t> </w:t>
      </w:r>
      <w:r w:rsidRPr="00D64AD2">
        <w:rPr>
          <w:rFonts w:ascii="Marianne" w:hAnsi="Marianne"/>
          <w:lang w:eastAsia="en-GB"/>
        </w:rPr>
        <w:t xml:space="preserve">: </w:t>
      </w:r>
      <w:r w:rsidR="00B07283">
        <w:rPr>
          <w:rFonts w:ascii="Marianne" w:hAnsi="Marianne"/>
          <w:lang w:eastAsia="en-GB"/>
        </w:rPr>
        <w:t>Terres Australes et antarctiques Françaises (</w:t>
      </w:r>
      <w:proofErr w:type="spellStart"/>
      <w:r w:rsidR="00B07283">
        <w:rPr>
          <w:rFonts w:ascii="Marianne" w:hAnsi="Marianne"/>
          <w:lang w:eastAsia="en-GB"/>
        </w:rPr>
        <w:t>Taaf</w:t>
      </w:r>
      <w:proofErr w:type="spellEnd"/>
      <w:r w:rsidR="00B07283">
        <w:rPr>
          <w:rFonts w:ascii="Marianne" w:hAnsi="Marianne"/>
          <w:lang w:eastAsia="en-GB"/>
        </w:rPr>
        <w:t xml:space="preserve">) </w:t>
      </w:r>
      <w:r w:rsidRPr="00D64AD2">
        <w:rPr>
          <w:rFonts w:ascii="Marianne" w:hAnsi="Marianne"/>
          <w:lang w:eastAsia="en-GB"/>
        </w:rPr>
        <w:t>(le "</w:t>
      </w:r>
      <w:r w:rsidRPr="00D64AD2">
        <w:rPr>
          <w:rFonts w:ascii="Marianne" w:hAnsi="Marianne"/>
          <w:b/>
          <w:lang w:eastAsia="en-GB"/>
        </w:rPr>
        <w:t>Maître d’Ouvrage</w:t>
      </w:r>
      <w:r w:rsidRPr="00D64AD2">
        <w:rPr>
          <w:rFonts w:ascii="Marianne" w:hAnsi="Marianne"/>
          <w:lang w:eastAsia="en-GB"/>
        </w:rPr>
        <w:t>")</w:t>
      </w:r>
    </w:p>
    <w:p w14:paraId="7DD3CE77" w14:textId="77777777" w:rsidR="006D5757" w:rsidRPr="00D64AD2" w:rsidRDefault="006D5757" w:rsidP="006D5757">
      <w:pPr>
        <w:autoSpaceDE w:val="0"/>
        <w:autoSpaceDN w:val="0"/>
        <w:adjustRightInd w:val="0"/>
        <w:spacing w:before="142" w:line="240" w:lineRule="atLeast"/>
        <w:rPr>
          <w:rFonts w:ascii="Marianne" w:hAnsi="Marianne"/>
          <w:lang w:eastAsia="en-GB"/>
        </w:rPr>
      </w:pPr>
    </w:p>
    <w:p w14:paraId="41A4A690"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ind w:hanging="720"/>
        <w:jc w:val="both"/>
        <w:textAlignment w:val="baseline"/>
        <w:rPr>
          <w:rFonts w:ascii="Marianne" w:hAnsi="Marianne"/>
          <w:lang w:eastAsia="en-GB"/>
        </w:rPr>
      </w:pPr>
      <w:r w:rsidRPr="00D64AD2">
        <w:rPr>
          <w:rFonts w:ascii="Marianne" w:hAnsi="Marianne"/>
          <w:lang w:eastAsia="en-GB"/>
        </w:rPr>
        <w:t>Nous reconnaissons et acceptons que l'Agence Française de Développement (l'"</w:t>
      </w:r>
      <w:r w:rsidRPr="00D64AD2">
        <w:rPr>
          <w:rFonts w:ascii="Marianne" w:hAnsi="Marianne"/>
          <w:b/>
          <w:lang w:eastAsia="en-GB"/>
        </w:rPr>
        <w:t>AFD</w:t>
      </w:r>
      <w:r w:rsidRPr="00D64AD2">
        <w:rPr>
          <w:rFonts w:ascii="Marianne" w:hAnsi="Marianne"/>
          <w:lang w:eastAsia="en-GB"/>
        </w:rPr>
        <w:t>") ne finance les projets du Maître d’Ouvrage qu'à ses propres conditions qui sont déterminées par la Convention de Financement qui la lie directement ou indirectement au Maître d’Ouvrage. En conséquence, il ne peut exister de lien de droit entre l'AFD et notre entreprise, notre groupement, nos fournisseurs, entrepreneurs, consultants et sous-traitants. Le Maître d’Ouvrage conserve la responsabilité exclusive de la préparation et de la mise en œuvre du processus de passation des marchés et de leur exécution. Selon qu’il s’agit de marchés de travaux, de fournitures, d’équipements, de prestations intellectuelles (consultants) ou d’autres prestations de services, le Maître d’Ouvrage peut également être dénommé Client</w:t>
      </w:r>
      <w:r w:rsidRPr="00D64AD2">
        <w:rPr>
          <w:rFonts w:ascii="Cambria" w:hAnsi="Cambria" w:cs="Cambria"/>
          <w:lang w:eastAsia="en-GB"/>
        </w:rPr>
        <w:t> </w:t>
      </w:r>
      <w:r w:rsidRPr="00D64AD2">
        <w:rPr>
          <w:rFonts w:ascii="Marianne" w:hAnsi="Marianne"/>
          <w:lang w:eastAsia="en-GB"/>
        </w:rPr>
        <w:t>ou Acheteur.</w:t>
      </w:r>
    </w:p>
    <w:p w14:paraId="6496BB8D"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Nous attestons que nous ne sommes pas, et qu'aucun des membres de notre groupement, ni de nos fournisseurs, entrepreneurs, consultants et sous-traitants, n'est dans l'un des cas suivants</w:t>
      </w:r>
      <w:r w:rsidRPr="00D64AD2">
        <w:rPr>
          <w:rFonts w:ascii="Cambria" w:hAnsi="Cambria" w:cs="Cambria"/>
          <w:lang w:eastAsia="en-GB"/>
        </w:rPr>
        <w:t> </w:t>
      </w:r>
      <w:r w:rsidRPr="00D64AD2">
        <w:rPr>
          <w:rFonts w:ascii="Marianne" w:hAnsi="Marianne"/>
          <w:lang w:eastAsia="en-GB"/>
        </w:rPr>
        <w:t>:</w:t>
      </w:r>
    </w:p>
    <w:p w14:paraId="05A5F6E1"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Être en état ou avoir fait l'objet d'une procédure de faillite, de liquidation, de règlement judiciaire, de sauvegarde, de cessation d'activité, ou être dans toute situation analogue résultant d'une procédure de même nature</w:t>
      </w:r>
      <w:r w:rsidRPr="00D64AD2">
        <w:rPr>
          <w:rFonts w:ascii="Cambria" w:hAnsi="Cambria" w:cs="Cambria"/>
          <w:lang w:eastAsia="en-GB"/>
        </w:rPr>
        <w:t> </w:t>
      </w:r>
      <w:r w:rsidRPr="00D64AD2">
        <w:rPr>
          <w:rFonts w:ascii="Marianne" w:hAnsi="Marianne"/>
          <w:lang w:eastAsia="en-GB"/>
        </w:rPr>
        <w:t>;</w:t>
      </w:r>
    </w:p>
    <w:p w14:paraId="4AFCC35F"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val="en-US" w:eastAsia="en-GB"/>
        </w:rPr>
      </w:pPr>
      <w:r w:rsidRPr="00D64AD2">
        <w:rPr>
          <w:rFonts w:ascii="Marianne" w:hAnsi="Marianne"/>
          <w:lang w:eastAsia="en-GB"/>
        </w:rPr>
        <w:t>Avoir fait l'objet</w:t>
      </w:r>
      <w:r w:rsidRPr="00D64AD2">
        <w:rPr>
          <w:rFonts w:ascii="Cambria" w:hAnsi="Cambria" w:cs="Cambria"/>
          <w:lang w:eastAsia="en-GB"/>
        </w:rPr>
        <w:t> </w:t>
      </w:r>
      <w:r w:rsidRPr="00D64AD2">
        <w:rPr>
          <w:rFonts w:ascii="Marianne" w:hAnsi="Marianne"/>
          <w:lang w:eastAsia="en-GB"/>
        </w:rPr>
        <w:t>:</w:t>
      </w:r>
    </w:p>
    <w:p w14:paraId="5DDFDEBD" w14:textId="77777777" w:rsidR="006D5757" w:rsidRPr="00D64AD2" w:rsidRDefault="006D5757" w:rsidP="006D5757">
      <w:pPr>
        <w:widowControl w:val="0"/>
        <w:numPr>
          <w:ilvl w:val="1"/>
          <w:numId w:val="3"/>
        </w:numPr>
        <w:tabs>
          <w:tab w:val="left" w:pos="1260"/>
          <w:tab w:val="num" w:pos="7152"/>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D'une condamnation prononcée depuis moins de cinq ans par un jugement ayant force de chose jugée dans le pays de réalisation du Marché, pour fraude, corruption ou tout délit commis dans le cadre de la passation ou de l'exécution d'un marché (dans l’hypothèse d’une telle condamnation, nous disposons de la possibilité de joindre à la présente Déclaration d’Intégrité les informations complémentaires qui permettraient de considérer que cette condamnation n’est pas pertinente dans le cadre du Marché)</w:t>
      </w:r>
      <w:r w:rsidRPr="00D64AD2">
        <w:rPr>
          <w:rFonts w:ascii="Cambria" w:hAnsi="Cambria" w:cs="Cambria"/>
          <w:lang w:eastAsia="en-GB"/>
        </w:rPr>
        <w:t> </w:t>
      </w:r>
      <w:r w:rsidRPr="00D64AD2">
        <w:rPr>
          <w:rFonts w:ascii="Marianne" w:hAnsi="Marianne"/>
          <w:lang w:eastAsia="en-GB"/>
        </w:rPr>
        <w:t>;</w:t>
      </w:r>
    </w:p>
    <w:p w14:paraId="7070E095" w14:textId="77777777" w:rsidR="006D5757" w:rsidRPr="00D64AD2" w:rsidRDefault="006D5757" w:rsidP="006D5757">
      <w:pPr>
        <w:widowControl w:val="0"/>
        <w:numPr>
          <w:ilvl w:val="1"/>
          <w:numId w:val="3"/>
        </w:numPr>
        <w:tabs>
          <w:tab w:val="left" w:pos="1260"/>
          <w:tab w:val="num" w:pos="7152"/>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D’une sanction administrative prononcée depuis moins de cinq ans par l’Union Européenne ou par les autorités compétentes du pays dans lequel nous sommes établis, pour fraude, corruption ou tout délit commis dans le cadre de la passation ou de l'exécution d'un marché (dans l’hypothèse d’une telle sanction, nous pouvons joindre à la présente Déclaration d’Intégrité les informations complémentaires qui permettraient de considérer que cette sanction n’est pas pertinente dans le cadre du Marché) ;</w:t>
      </w:r>
    </w:p>
    <w:p w14:paraId="3564B1DC" w14:textId="77777777" w:rsidR="006D5757" w:rsidRPr="00D64AD2" w:rsidRDefault="006D5757" w:rsidP="006D5757">
      <w:pPr>
        <w:widowControl w:val="0"/>
        <w:numPr>
          <w:ilvl w:val="1"/>
          <w:numId w:val="3"/>
        </w:numPr>
        <w:tabs>
          <w:tab w:val="left" w:pos="1260"/>
          <w:tab w:val="num" w:pos="7152"/>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lastRenderedPageBreak/>
        <w:t>D'une condamnation prononcée depuis moins de cinq ans par un jugement ayant force de chose jugée, pour fraude, corruption ou pour tout délit commis dans le cadre de la passation ou de l'exécution d'un marché financé par l'AFD</w:t>
      </w:r>
      <w:r w:rsidRPr="00D64AD2">
        <w:rPr>
          <w:rFonts w:ascii="Cambria" w:hAnsi="Cambria" w:cs="Cambria"/>
          <w:lang w:eastAsia="en-GB"/>
        </w:rPr>
        <w:t> </w:t>
      </w:r>
      <w:r w:rsidRPr="00D64AD2">
        <w:rPr>
          <w:rFonts w:ascii="Marianne" w:hAnsi="Marianne"/>
          <w:lang w:eastAsia="en-GB"/>
        </w:rPr>
        <w:t>;</w:t>
      </w:r>
    </w:p>
    <w:p w14:paraId="730816F7"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Figurer sur les listes de sanctions financières adoptées par les Nations Unies, l'Union Européenne et/ou la France, notamment au titre de la lutte contre le financement du terrorisme et contre les atteintes à la paix et à la sécurité internationales</w:t>
      </w:r>
      <w:r w:rsidRPr="00D64AD2">
        <w:rPr>
          <w:rFonts w:ascii="Cambria" w:hAnsi="Cambria" w:cs="Cambria"/>
          <w:lang w:eastAsia="en-GB"/>
        </w:rPr>
        <w:t> </w:t>
      </w:r>
      <w:r w:rsidRPr="00D64AD2">
        <w:rPr>
          <w:rFonts w:ascii="Marianne" w:hAnsi="Marianne"/>
          <w:lang w:eastAsia="en-GB"/>
        </w:rPr>
        <w:t>;</w:t>
      </w:r>
    </w:p>
    <w:p w14:paraId="1865FDF7"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Avoir fait l’objet d’une résiliation prononcée à nos torts exclusifs au cours des cinq dernières années du fait d'un manquement grave ou persistant à nos obligations contractuelles lors de l'exécution d'un marché antérieur, sous réserve que cette sanction n’ait pas fait l’objet d’une contestation de notre part en cours ou ayant donné lieu à une décision de justice infirmant la résiliation à nos torts exclusifs</w:t>
      </w:r>
      <w:r w:rsidRPr="00D64AD2">
        <w:rPr>
          <w:rFonts w:ascii="Cambria" w:hAnsi="Cambria" w:cs="Cambria"/>
          <w:lang w:eastAsia="en-GB"/>
        </w:rPr>
        <w:t> </w:t>
      </w:r>
      <w:r w:rsidRPr="00D64AD2">
        <w:rPr>
          <w:rFonts w:ascii="Marianne" w:hAnsi="Marianne"/>
          <w:lang w:eastAsia="en-GB"/>
        </w:rPr>
        <w:t>;</w:t>
      </w:r>
    </w:p>
    <w:p w14:paraId="1BCCA681"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N’avoir pas rempli nos obligations relatives au paiement de nos impôts selon les dispositions légales du pays où nous sommes établis ou celles du pays du Maître d’Ouvrage</w:t>
      </w:r>
      <w:r w:rsidRPr="00D64AD2">
        <w:rPr>
          <w:rFonts w:ascii="Cambria" w:hAnsi="Cambria" w:cs="Cambria"/>
          <w:lang w:eastAsia="en-GB"/>
        </w:rPr>
        <w:t> </w:t>
      </w:r>
      <w:r w:rsidRPr="00D64AD2">
        <w:rPr>
          <w:rFonts w:ascii="Marianne" w:hAnsi="Marianne"/>
          <w:lang w:eastAsia="en-GB"/>
        </w:rPr>
        <w:t>;</w:t>
      </w:r>
    </w:p>
    <w:p w14:paraId="151C5811"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 xml:space="preserve">Être sous le coup d'une décision d'exclusion prononcée par la Banque Mondiale et figurer à ce titre sur la liste publiée à l'adresse électronique </w:t>
      </w:r>
      <w:hyperlink r:id="rId7" w:history="1">
        <w:r w:rsidRPr="00D64AD2">
          <w:rPr>
            <w:rFonts w:ascii="Marianne" w:hAnsi="Marianne"/>
            <w:color w:val="0070C0"/>
            <w:u w:val="single"/>
            <w:lang w:eastAsia="en-GB"/>
          </w:rPr>
          <w:t>http://www.worldbank.org/debarr</w:t>
        </w:r>
      </w:hyperlink>
      <w:r w:rsidRPr="00D64AD2">
        <w:rPr>
          <w:rFonts w:ascii="Marianne" w:hAnsi="Marianne"/>
          <w:lang w:eastAsia="en-GB"/>
        </w:rPr>
        <w:t xml:space="preserve"> (dans l’hypothèse d’une telle décision d’exclusion, nous pouvons joindre à la présente Déclaration d’Intégrité les informations complémentaires qui permettraient de considérer que cette décision d’exclusion n’est pas pertinente dans le cadre du Marché)</w:t>
      </w:r>
      <w:r w:rsidRPr="00D64AD2">
        <w:rPr>
          <w:rFonts w:ascii="Cambria" w:hAnsi="Cambria" w:cs="Cambria"/>
          <w:lang w:eastAsia="en-GB"/>
        </w:rPr>
        <w:t> </w:t>
      </w:r>
      <w:r w:rsidRPr="00D64AD2">
        <w:rPr>
          <w:rFonts w:ascii="Marianne" w:hAnsi="Marianne"/>
          <w:lang w:eastAsia="en-GB"/>
        </w:rPr>
        <w:t>;</w:t>
      </w:r>
    </w:p>
    <w:p w14:paraId="7B6B364D"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Avoir produit de faux documents ou s’être rendu coupable de fausse(s) déclaration(s) en fournissant les renseignements exigés par le Maître d’Ouvrage dans le cadre du présent processus de passation et d’attribution du Marché.</w:t>
      </w:r>
    </w:p>
    <w:p w14:paraId="5B0F15AB" w14:textId="77777777" w:rsidR="006D5757" w:rsidRPr="00D64AD2" w:rsidRDefault="006D5757" w:rsidP="006D5757">
      <w:pPr>
        <w:keepNext/>
        <w:keepLines/>
        <w:suppressAutoHyphens/>
        <w:overflowPunct w:val="0"/>
        <w:autoSpaceDE w:val="0"/>
        <w:autoSpaceDN w:val="0"/>
        <w:adjustRightInd w:val="0"/>
        <w:spacing w:before="142" w:line="240" w:lineRule="atLeast"/>
        <w:ind w:left="720"/>
        <w:contextualSpacing/>
        <w:jc w:val="both"/>
        <w:textAlignment w:val="baseline"/>
        <w:rPr>
          <w:rFonts w:ascii="Marianne" w:hAnsi="Marianne"/>
          <w:lang w:eastAsia="en-GB"/>
        </w:rPr>
      </w:pPr>
    </w:p>
    <w:p w14:paraId="6CBF17F6" w14:textId="77777777" w:rsidR="006D5757" w:rsidRPr="00D64AD2" w:rsidRDefault="006D5757" w:rsidP="006D5757">
      <w:pPr>
        <w:keepNext/>
        <w:keepLines/>
        <w:numPr>
          <w:ilvl w:val="0"/>
          <w:numId w:val="1"/>
        </w:numPr>
        <w:suppressAutoHyphens/>
        <w:overflowPunct w:val="0"/>
        <w:autoSpaceDE w:val="0"/>
        <w:autoSpaceDN w:val="0"/>
        <w:adjustRightInd w:val="0"/>
        <w:spacing w:before="142" w:line="240" w:lineRule="atLeast"/>
        <w:contextualSpacing/>
        <w:jc w:val="both"/>
        <w:textAlignment w:val="baseline"/>
        <w:rPr>
          <w:rFonts w:ascii="Marianne" w:hAnsi="Marianne"/>
          <w:lang w:eastAsia="en-GB"/>
        </w:rPr>
      </w:pPr>
      <w:r w:rsidRPr="00D64AD2">
        <w:rPr>
          <w:rFonts w:ascii="Marianne" w:hAnsi="Marianne"/>
          <w:lang w:eastAsia="en-GB"/>
        </w:rPr>
        <w:t>Nous attestons que nous ne sommes pas, et qu'aucun des membres de notre groupement ni de nos fournisseurs, entrepreneurs, consultants et sous-traitants, n'est dans l'une des situations de conflit d'intérêt suivantes</w:t>
      </w:r>
      <w:r w:rsidRPr="00D64AD2">
        <w:rPr>
          <w:rFonts w:ascii="Cambria" w:hAnsi="Cambria" w:cs="Cambria"/>
          <w:lang w:eastAsia="en-GB"/>
        </w:rPr>
        <w:t> </w:t>
      </w:r>
      <w:r w:rsidRPr="00D64AD2">
        <w:rPr>
          <w:rFonts w:ascii="Marianne" w:hAnsi="Marianne"/>
          <w:lang w:eastAsia="en-GB"/>
        </w:rPr>
        <w:t>:</w:t>
      </w:r>
    </w:p>
    <w:p w14:paraId="7A072635"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3.1) Actionnaire contrôlant le Maitre d’Ouvrage ou filiale contrôlée par le Maitre d’Ouvrage, à moins que le conflit en découlant ait été porté à la connaissance de l'AFD et résolu à sa satisfaction.</w:t>
      </w:r>
    </w:p>
    <w:p w14:paraId="7F51CA8B"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3.2) Avoir des relations d'affaires ou familiales avec un membre des services du Maitre d’Ouvrage impliqué dans le processus de passation du Marché ou la supervision du Marché en résultant, à moins que le conflit en découlant ait été porté à la connaissance de l'AFD et résolu à sa satisfaction</w:t>
      </w:r>
      <w:r w:rsidRPr="00D64AD2">
        <w:rPr>
          <w:rFonts w:ascii="Cambria" w:hAnsi="Cambria" w:cs="Cambria"/>
          <w:lang w:eastAsia="en-GB"/>
        </w:rPr>
        <w:t> </w:t>
      </w:r>
      <w:r w:rsidRPr="00D64AD2">
        <w:rPr>
          <w:rFonts w:ascii="Marianne" w:hAnsi="Marianne"/>
          <w:lang w:eastAsia="en-GB"/>
        </w:rPr>
        <w:t>;</w:t>
      </w:r>
    </w:p>
    <w:p w14:paraId="7FD42A1B"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du Maitre d’Ouvrage</w:t>
      </w:r>
      <w:r w:rsidRPr="00D64AD2">
        <w:rPr>
          <w:rFonts w:ascii="Cambria" w:hAnsi="Cambria" w:cs="Cambria"/>
          <w:lang w:eastAsia="en-GB"/>
        </w:rPr>
        <w:t> </w:t>
      </w:r>
      <w:r w:rsidRPr="00D64AD2">
        <w:rPr>
          <w:rFonts w:ascii="Marianne" w:hAnsi="Marianne"/>
          <w:lang w:eastAsia="en-GB"/>
        </w:rPr>
        <w:t>;</w:t>
      </w:r>
    </w:p>
    <w:p w14:paraId="09605881"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3.4) Être engagé pour une mission de prestations intellectuelles qui, par sa nature, risque de s'avérer incompatible avec nos missions pour le compte du Maitre d’Ouvrage</w:t>
      </w:r>
      <w:r w:rsidRPr="00D64AD2">
        <w:rPr>
          <w:rFonts w:ascii="Cambria" w:hAnsi="Cambria" w:cs="Cambria"/>
          <w:lang w:eastAsia="en-GB"/>
        </w:rPr>
        <w:t> </w:t>
      </w:r>
      <w:r w:rsidRPr="00D64AD2">
        <w:rPr>
          <w:rFonts w:ascii="Marianne" w:hAnsi="Marianne"/>
          <w:lang w:eastAsia="en-GB"/>
        </w:rPr>
        <w:t>;</w:t>
      </w:r>
    </w:p>
    <w:p w14:paraId="503008BB"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 xml:space="preserve">3.5) Dans le cas d'une procédure ayant pour objet la passation d'un marché de </w:t>
      </w:r>
      <w:r w:rsidRPr="00D64AD2">
        <w:rPr>
          <w:rFonts w:ascii="Marianne" w:hAnsi="Marianne"/>
          <w:lang w:eastAsia="en-GB"/>
        </w:rPr>
        <w:lastRenderedPageBreak/>
        <w:t>travaux, fournitures ou équipements</w:t>
      </w:r>
      <w:r w:rsidRPr="00D64AD2">
        <w:rPr>
          <w:rFonts w:ascii="Cambria" w:hAnsi="Cambria" w:cs="Cambria"/>
          <w:lang w:eastAsia="en-GB"/>
        </w:rPr>
        <w:t> </w:t>
      </w:r>
      <w:r w:rsidRPr="00D64AD2">
        <w:rPr>
          <w:rFonts w:ascii="Marianne" w:hAnsi="Marianne"/>
          <w:lang w:eastAsia="en-GB"/>
        </w:rPr>
        <w:t>:</w:t>
      </w:r>
    </w:p>
    <w:p w14:paraId="5DCBCCCB" w14:textId="53533C10" w:rsidR="006D5757" w:rsidRPr="00D64AD2" w:rsidRDefault="006D5757" w:rsidP="006D5757">
      <w:pPr>
        <w:widowControl w:val="0"/>
        <w:numPr>
          <w:ilvl w:val="2"/>
          <w:numId w:val="4"/>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 xml:space="preserve">Avoir préparé nous-mêmes ou avoir été associés à un consultant qui a préparé des spécifications, plans, calculs et autres documents utilisés dans le cadre de la procédure de passation du </w:t>
      </w:r>
      <w:r w:rsidR="002348E3" w:rsidRPr="00D64AD2">
        <w:rPr>
          <w:rFonts w:ascii="Marianne" w:hAnsi="Marianne"/>
          <w:lang w:eastAsia="en-GB"/>
        </w:rPr>
        <w:t>Marché ;</w:t>
      </w:r>
    </w:p>
    <w:p w14:paraId="6E7C5FEF" w14:textId="77777777" w:rsidR="006D5757" w:rsidRPr="00D64AD2" w:rsidRDefault="006D5757" w:rsidP="006D5757">
      <w:pPr>
        <w:widowControl w:val="0"/>
        <w:numPr>
          <w:ilvl w:val="2"/>
          <w:numId w:val="4"/>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Être nous-mêmes, ou l'une des firmes auxquelles nous sommes affiliées, recrutés, ou devant l'être, par le Maitre d’Ouvrage pour effectuer la supervision ou le contrôle des travaux dans le cadre du Marché.</w:t>
      </w:r>
      <w:r w:rsidRPr="00D64AD2">
        <w:rPr>
          <w:rFonts w:ascii="Cambria" w:hAnsi="Cambria" w:cs="Cambria"/>
          <w:lang w:eastAsia="en-GB"/>
        </w:rPr>
        <w:t> </w:t>
      </w:r>
    </w:p>
    <w:p w14:paraId="34794C03"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w14:paraId="2C65D00E"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Nous nous engageons à communiquer sans délai au Maître d’Ouvrage, qui en informera l'AFD, tout changement de situation au regard des points 2 à 4 qui précèdent.</w:t>
      </w:r>
    </w:p>
    <w:p w14:paraId="58EB6F11"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Dans le cadre de la passation et de l'exécution du Marché</w:t>
      </w:r>
      <w:r w:rsidRPr="00D64AD2">
        <w:rPr>
          <w:rFonts w:ascii="Cambria" w:hAnsi="Cambria" w:cs="Cambria"/>
          <w:lang w:eastAsia="en-GB"/>
        </w:rPr>
        <w:t> </w:t>
      </w:r>
      <w:r w:rsidRPr="00D64AD2">
        <w:rPr>
          <w:rFonts w:ascii="Marianne" w:hAnsi="Marianne"/>
          <w:lang w:eastAsia="en-GB"/>
        </w:rPr>
        <w:t>:</w:t>
      </w:r>
    </w:p>
    <w:p w14:paraId="5B10D20A"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2F56B4EE"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6.2) Nous n'avons pas commis et nous ne commettrons pas de manœuvre déloyale (action ou omission) contraire à nos obligations légales ou réglementaires et/ou nos règles internes afin d'obtenir un bénéfice illégitime.</w:t>
      </w:r>
    </w:p>
    <w:p w14:paraId="2C67EC7F"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6.3) Nous n'avons pas promis, offert ou accordé et nous ne promettrons, offrirons ou accorderons pas, directement ou indirectement, à (i) toute Personne détenant un mandat législatif, exécutif, administratif ou judiciaire au sein de l'Etat du Maitre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Maitre d’Ouvrage, un avantage indu de toute nature, pour lui-même ou pour une autre personne ou entité, afin qu'il accomplisse ou s'abstienne d'accomplir un acte dans l'exercice de ses fonctions officielles.</w:t>
      </w:r>
    </w:p>
    <w:p w14:paraId="29E89C67"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 xml:space="preserve">6.4) Nous n'avons pas promis, offert ou accordé et nous ne promettrons, offrirons ou accorderons pas, directement ou indirectement, à toute Personne qui dirige une entité du secteur privé ou travaille pour une telle entité, en quelque qualité que </w:t>
      </w:r>
      <w:proofErr w:type="spellStart"/>
      <w:r w:rsidRPr="00D64AD2">
        <w:rPr>
          <w:rFonts w:ascii="Marianne" w:hAnsi="Marianne"/>
          <w:lang w:eastAsia="en-GB"/>
        </w:rPr>
        <w:t>se</w:t>
      </w:r>
      <w:proofErr w:type="spellEnd"/>
      <w:r w:rsidRPr="00D64AD2">
        <w:rPr>
          <w:rFonts w:ascii="Marianne" w:hAnsi="Marianne"/>
          <w:lang w:eastAsia="en-GB"/>
        </w:rPr>
        <w:t xml:space="preserve"> soit, un avantage indu de toute nature, pour elle-même ou pour une autre Personne ou entité, afin qu'elle accomplisse ou s'abstienne d'accomplir un acte en violation de ses obligations légales, contractuelles ou professionnelles.</w:t>
      </w:r>
    </w:p>
    <w:p w14:paraId="5BC4F435"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6.5) Nous n'avons pas commis et nous ne commettrons pas d'acte susceptible d'influencer le processus de passation du Marché au détriment du Maitre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2DD97876"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6.6) Nous-mêmes, ou l'un des membres de notre groupement, ou l'un des sous-traitants n'allons pas acquérir ou fournir de matériel et n'allons pas intervenir dans des secteurs sous embargo des Nations Unies, de l'Union Européenne ou de la France.</w:t>
      </w:r>
    </w:p>
    <w:p w14:paraId="0AEF0D3A"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 xml:space="preserve">6.7) Nous nous engageons à respecter et à faire respecter par l'ensemble de nos </w:t>
      </w:r>
      <w:r w:rsidRPr="00D64AD2">
        <w:rPr>
          <w:rFonts w:ascii="Marianne" w:hAnsi="Marianne"/>
          <w:lang w:eastAsia="en-GB"/>
        </w:rPr>
        <w:lastRenderedPageBreak/>
        <w:t>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à mettre en œuvre les mesures d'atténuation des risques environnementaux et sociaux lorsqu’elles sont indiquées dans le plan de gestion environnementale et sociale fourni par le Maitre d’Ouvrage.</w:t>
      </w:r>
    </w:p>
    <w:p w14:paraId="0FDB330E"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Nous-mêmes, les membres de notre groupement, nos fournisseurs, entrepreneurs, consultants et sous-traitants, autorisons l'AFD à examiner les documents et pièces comptables relatifs à la passation et à l'exécution du Marché et à les soumettre pour vérification à des auditeurs désignés par l'AFD.</w:t>
      </w:r>
    </w:p>
    <w:p w14:paraId="6742506A" w14:textId="77777777" w:rsidR="006D5757" w:rsidRPr="00D64AD2" w:rsidRDefault="006D5757" w:rsidP="006D5757">
      <w:pPr>
        <w:tabs>
          <w:tab w:val="right" w:pos="4140"/>
          <w:tab w:val="left" w:pos="4500"/>
          <w:tab w:val="right" w:pos="9000"/>
        </w:tabs>
        <w:autoSpaceDE w:val="0"/>
        <w:autoSpaceDN w:val="0"/>
        <w:adjustRightInd w:val="0"/>
        <w:spacing w:before="142" w:line="240" w:lineRule="atLeast"/>
        <w:rPr>
          <w:rFonts w:ascii="Marianne" w:hAnsi="Marianne"/>
          <w:lang w:eastAsia="en-GB"/>
        </w:rPr>
      </w:pPr>
    </w:p>
    <w:p w14:paraId="7613D26A" w14:textId="77777777" w:rsidR="006D5757" w:rsidRPr="00D64AD2" w:rsidRDefault="006D5757" w:rsidP="006D5757">
      <w:pPr>
        <w:tabs>
          <w:tab w:val="right" w:leader="underscore" w:pos="4536"/>
          <w:tab w:val="left" w:pos="4820"/>
          <w:tab w:val="right" w:leader="underscore" w:pos="9072"/>
        </w:tabs>
        <w:autoSpaceDE w:val="0"/>
        <w:autoSpaceDN w:val="0"/>
        <w:adjustRightInd w:val="0"/>
        <w:spacing w:before="142" w:line="240" w:lineRule="atLeast"/>
        <w:jc w:val="both"/>
        <w:rPr>
          <w:rFonts w:ascii="Marianne" w:eastAsia="Calibri" w:hAnsi="Marianne"/>
          <w:lang w:eastAsia="en-GB"/>
        </w:rPr>
      </w:pPr>
      <w:r w:rsidRPr="00D64AD2">
        <w:rPr>
          <w:rFonts w:ascii="Marianne" w:eastAsia="Calibri" w:hAnsi="Marianne"/>
          <w:lang w:eastAsia="en-GB"/>
        </w:rPr>
        <w:t xml:space="preserve">Nom : </w:t>
      </w:r>
      <w:r w:rsidRPr="00D64AD2">
        <w:rPr>
          <w:rFonts w:ascii="Marianne" w:eastAsia="Calibri" w:hAnsi="Marianne"/>
          <w:lang w:eastAsia="en-GB"/>
        </w:rPr>
        <w:tab/>
      </w:r>
      <w:r w:rsidRPr="00D64AD2">
        <w:rPr>
          <w:rFonts w:ascii="Marianne" w:eastAsia="Calibri" w:hAnsi="Marianne"/>
          <w:lang w:eastAsia="en-GB"/>
        </w:rPr>
        <w:tab/>
        <w:t xml:space="preserve">En tant que : </w:t>
      </w:r>
      <w:r w:rsidRPr="00D64AD2">
        <w:rPr>
          <w:rFonts w:ascii="Marianne" w:eastAsia="Calibri" w:hAnsi="Marianne"/>
          <w:lang w:eastAsia="en-GB"/>
        </w:rPr>
        <w:tab/>
      </w:r>
    </w:p>
    <w:p w14:paraId="717C1987" w14:textId="77777777" w:rsidR="006D5757" w:rsidRPr="00D64AD2" w:rsidRDefault="006D5757" w:rsidP="006D5757">
      <w:pPr>
        <w:tabs>
          <w:tab w:val="right" w:leader="underscore" w:pos="9000"/>
        </w:tabs>
        <w:autoSpaceDE w:val="0"/>
        <w:autoSpaceDN w:val="0"/>
        <w:adjustRightInd w:val="0"/>
        <w:spacing w:before="142" w:line="240" w:lineRule="atLeast"/>
        <w:rPr>
          <w:rFonts w:ascii="Marianne" w:eastAsia="Calibri" w:hAnsi="Marianne"/>
          <w:lang w:eastAsia="en-US"/>
        </w:rPr>
      </w:pPr>
      <w:r w:rsidRPr="00D64AD2">
        <w:rPr>
          <w:rFonts w:ascii="Marianne" w:hAnsi="Marianne"/>
          <w:lang w:eastAsia="en-GB"/>
        </w:rPr>
        <w:t>Dûment habilité à signer pour et au nom de</w:t>
      </w:r>
      <w:r w:rsidRPr="00D64AD2">
        <w:rPr>
          <w:rFonts w:ascii="Marianne" w:hAnsi="Marianne"/>
          <w:vertAlign w:val="superscript"/>
          <w:lang w:eastAsia="en-GB"/>
        </w:rPr>
        <w:footnoteReference w:id="2"/>
      </w:r>
      <w:r w:rsidRPr="00D64AD2">
        <w:rPr>
          <w:rFonts w:ascii="Marianne" w:hAnsi="Marianne"/>
          <w:lang w:eastAsia="en-GB"/>
        </w:rPr>
        <w:t xml:space="preserve"> </w:t>
      </w:r>
      <w:r w:rsidRPr="00D64AD2">
        <w:rPr>
          <w:rFonts w:ascii="Marianne" w:eastAsia="Calibri" w:hAnsi="Marianne"/>
          <w:lang w:eastAsia="en-GB"/>
        </w:rPr>
        <w:tab/>
      </w:r>
    </w:p>
    <w:p w14:paraId="40EC34F9" w14:textId="77777777" w:rsidR="006D5757" w:rsidRPr="00D64AD2" w:rsidRDefault="006D5757" w:rsidP="006D5757">
      <w:pPr>
        <w:autoSpaceDE w:val="0"/>
        <w:autoSpaceDN w:val="0"/>
        <w:adjustRightInd w:val="0"/>
        <w:spacing w:before="142" w:line="240" w:lineRule="atLeast"/>
        <w:jc w:val="both"/>
        <w:rPr>
          <w:rFonts w:ascii="Marianne" w:eastAsia="Calibri" w:hAnsi="Marianne"/>
          <w:lang w:eastAsia="en-GB"/>
        </w:rPr>
      </w:pPr>
    </w:p>
    <w:p w14:paraId="40B901B5" w14:textId="77777777" w:rsidR="006D5757" w:rsidRPr="00D64AD2" w:rsidRDefault="006D5757" w:rsidP="006D5757">
      <w:pPr>
        <w:tabs>
          <w:tab w:val="right" w:leader="underscore" w:pos="4820"/>
        </w:tabs>
        <w:autoSpaceDE w:val="0"/>
        <w:autoSpaceDN w:val="0"/>
        <w:adjustRightInd w:val="0"/>
        <w:spacing w:before="142" w:line="240" w:lineRule="atLeast"/>
        <w:jc w:val="both"/>
        <w:rPr>
          <w:rFonts w:ascii="Marianne" w:eastAsia="Calibri" w:hAnsi="Marianne"/>
          <w:u w:val="single"/>
          <w:lang w:eastAsia="en-GB"/>
        </w:rPr>
      </w:pPr>
      <w:r w:rsidRPr="00D64AD2">
        <w:rPr>
          <w:rFonts w:ascii="Marianne" w:eastAsia="Calibri" w:hAnsi="Marianne"/>
          <w:lang w:eastAsia="en-GB"/>
        </w:rPr>
        <w:t>Signature :</w:t>
      </w:r>
      <w:r w:rsidRPr="00D64AD2">
        <w:rPr>
          <w:rFonts w:ascii="Marianne" w:eastAsia="Calibri" w:hAnsi="Marianne"/>
          <w:lang w:eastAsia="en-GB"/>
        </w:rPr>
        <w:tab/>
      </w:r>
    </w:p>
    <w:p w14:paraId="14836103" w14:textId="77777777" w:rsidR="006D5757" w:rsidRPr="00D64AD2" w:rsidRDefault="006D5757" w:rsidP="006D57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line="240" w:lineRule="atLeast"/>
        <w:rPr>
          <w:rFonts w:ascii="Marianne" w:hAnsi="Marianne"/>
          <w:lang w:eastAsia="en-GB"/>
        </w:rPr>
      </w:pPr>
    </w:p>
    <w:p w14:paraId="0F2D64EB" w14:textId="77777777" w:rsidR="006D5757" w:rsidRPr="00D64AD2" w:rsidRDefault="006D5757" w:rsidP="006D5757">
      <w:pPr>
        <w:tabs>
          <w:tab w:val="right" w:leader="underscore" w:pos="4536"/>
          <w:tab w:val="left" w:pos="4820"/>
          <w:tab w:val="right" w:leader="underscore" w:pos="9072"/>
        </w:tabs>
        <w:autoSpaceDE w:val="0"/>
        <w:autoSpaceDN w:val="0"/>
        <w:adjustRightInd w:val="0"/>
        <w:spacing w:before="142" w:line="240" w:lineRule="atLeast"/>
        <w:jc w:val="both"/>
        <w:rPr>
          <w:rFonts w:ascii="Marianne" w:eastAsia="Calibri" w:hAnsi="Marianne"/>
          <w:lang w:eastAsia="en-US"/>
        </w:rPr>
      </w:pPr>
      <w:r w:rsidRPr="00D64AD2">
        <w:rPr>
          <w:rFonts w:ascii="Marianne" w:eastAsia="Calibri" w:hAnsi="Marianne"/>
          <w:lang w:eastAsia="en-GB"/>
        </w:rPr>
        <w:t xml:space="preserve">En date du : </w:t>
      </w:r>
      <w:r w:rsidRPr="00D64AD2">
        <w:rPr>
          <w:rFonts w:ascii="Marianne" w:eastAsia="Calibri" w:hAnsi="Marianne"/>
          <w:lang w:eastAsia="en-GB"/>
        </w:rPr>
        <w:tab/>
      </w:r>
      <w:r w:rsidRPr="00D64AD2">
        <w:rPr>
          <w:rFonts w:ascii="Marianne" w:eastAsia="Calibri" w:hAnsi="Marianne"/>
          <w:lang w:eastAsia="en-GB"/>
        </w:rPr>
        <w:tab/>
      </w:r>
    </w:p>
    <w:p w14:paraId="5B854105" w14:textId="77777777" w:rsidR="006D5757" w:rsidRPr="00D64AD2" w:rsidRDefault="006D5757" w:rsidP="006D5757">
      <w:pPr>
        <w:rPr>
          <w:rFonts w:ascii="Marianne" w:hAnsi="Marianne"/>
        </w:rPr>
      </w:pPr>
    </w:p>
    <w:p w14:paraId="7E064772" w14:textId="77777777" w:rsidR="006D5757" w:rsidRPr="00D64AD2" w:rsidRDefault="006D5757">
      <w:pPr>
        <w:rPr>
          <w:rFonts w:ascii="Marianne" w:hAnsi="Marianne"/>
        </w:rPr>
      </w:pPr>
    </w:p>
    <w:sectPr w:rsidR="006D5757" w:rsidRPr="00D64AD2" w:rsidSect="00610612">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2CC8F" w14:textId="77777777" w:rsidR="00F2609B" w:rsidRDefault="00F2609B" w:rsidP="006D5757">
      <w:r>
        <w:separator/>
      </w:r>
    </w:p>
  </w:endnote>
  <w:endnote w:type="continuationSeparator" w:id="0">
    <w:p w14:paraId="370A53AD" w14:textId="77777777" w:rsidR="00F2609B" w:rsidRDefault="00F2609B" w:rsidP="006D5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F539F" w14:textId="77777777" w:rsidR="00F2609B" w:rsidRDefault="00F2609B" w:rsidP="006D5757">
      <w:r>
        <w:separator/>
      </w:r>
    </w:p>
  </w:footnote>
  <w:footnote w:type="continuationSeparator" w:id="0">
    <w:p w14:paraId="6563D910" w14:textId="77777777" w:rsidR="00F2609B" w:rsidRDefault="00F2609B" w:rsidP="006D5757">
      <w:r>
        <w:continuationSeparator/>
      </w:r>
    </w:p>
  </w:footnote>
  <w:footnote w:id="1">
    <w:p w14:paraId="221C38C1" w14:textId="77777777" w:rsidR="006D5757" w:rsidRDefault="006D5757" w:rsidP="006D5757">
      <w:pPr>
        <w:jc w:val="both"/>
      </w:pPr>
      <w:r>
        <w:rPr>
          <w:rStyle w:val="Appelnotedebasdep"/>
        </w:rPr>
        <w:footnoteRef/>
      </w:r>
      <w:r>
        <w:t xml:space="preserve"> Lorsque la présente Déclaration d’Intégrité est requise dans le cadre d’un contrat qui n’est pas qualifiable de « marché » au sens du droit local, le terme « marché(s) » y est dès lors remplacé par le terme « contrat(s) » et les termes « soumissionnaire ou consultant » y sont dès lors remplacés par le terme « candidat ». </w:t>
      </w:r>
    </w:p>
    <w:p w14:paraId="2FBA1915" w14:textId="77777777" w:rsidR="006D5757" w:rsidRDefault="006D5757" w:rsidP="006D5757">
      <w:pPr>
        <w:pStyle w:val="Notedebasdepage"/>
        <w:rPr>
          <w:lang w:eastAsia="en-US"/>
        </w:rPr>
      </w:pPr>
    </w:p>
  </w:footnote>
  <w:footnote w:id="2">
    <w:p w14:paraId="116113B9" w14:textId="77777777" w:rsidR="006D5757" w:rsidRPr="00D64AD2" w:rsidRDefault="006D5757" w:rsidP="006D5757">
      <w:pPr>
        <w:pStyle w:val="Notedebasdepage"/>
        <w:rPr>
          <w:rFonts w:ascii="Marianne" w:hAnsi="Marianne"/>
          <w:sz w:val="14"/>
          <w:szCs w:val="14"/>
        </w:rPr>
      </w:pPr>
      <w:r>
        <w:rPr>
          <w:rStyle w:val="Appelnotedebasdep"/>
        </w:rPr>
        <w:footnoteRef/>
      </w:r>
      <w:r>
        <w:t xml:space="preserve"> </w:t>
      </w:r>
      <w:r w:rsidRPr="00D64AD2">
        <w:rPr>
          <w:rFonts w:ascii="Marianne" w:hAnsi="Marianne"/>
          <w:sz w:val="14"/>
          <w:szCs w:val="14"/>
        </w:rPr>
        <w:t xml:space="preserve">En </w:t>
      </w:r>
      <w:proofErr w:type="spellStart"/>
      <w:r w:rsidRPr="00D64AD2">
        <w:rPr>
          <w:rFonts w:ascii="Marianne" w:hAnsi="Marianne"/>
          <w:sz w:val="14"/>
          <w:szCs w:val="14"/>
        </w:rPr>
        <w:t>cas</w:t>
      </w:r>
      <w:proofErr w:type="spellEnd"/>
      <w:r w:rsidRPr="00D64AD2">
        <w:rPr>
          <w:rFonts w:ascii="Marianne" w:hAnsi="Marianne"/>
          <w:sz w:val="14"/>
          <w:szCs w:val="14"/>
        </w:rPr>
        <w:t xml:space="preserve"> de </w:t>
      </w:r>
      <w:proofErr w:type="spellStart"/>
      <w:r w:rsidRPr="00D64AD2">
        <w:rPr>
          <w:rFonts w:ascii="Marianne" w:hAnsi="Marianne"/>
          <w:sz w:val="14"/>
          <w:szCs w:val="14"/>
        </w:rPr>
        <w:t>groupement</w:t>
      </w:r>
      <w:proofErr w:type="spellEnd"/>
      <w:r w:rsidRPr="00D64AD2">
        <w:rPr>
          <w:rFonts w:ascii="Marianne" w:hAnsi="Marianne"/>
          <w:sz w:val="14"/>
          <w:szCs w:val="14"/>
        </w:rPr>
        <w:t xml:space="preserve">, </w:t>
      </w:r>
      <w:proofErr w:type="spellStart"/>
      <w:r w:rsidRPr="00D64AD2">
        <w:rPr>
          <w:rFonts w:ascii="Marianne" w:hAnsi="Marianne"/>
          <w:sz w:val="14"/>
          <w:szCs w:val="14"/>
        </w:rPr>
        <w:t>inscrire</w:t>
      </w:r>
      <w:proofErr w:type="spellEnd"/>
      <w:r w:rsidRPr="00D64AD2">
        <w:rPr>
          <w:rFonts w:ascii="Marianne" w:hAnsi="Marianne"/>
          <w:sz w:val="14"/>
          <w:szCs w:val="14"/>
        </w:rPr>
        <w:t xml:space="preserve"> le </w:t>
      </w:r>
      <w:proofErr w:type="spellStart"/>
      <w:r w:rsidRPr="00D64AD2">
        <w:rPr>
          <w:rFonts w:ascii="Marianne" w:hAnsi="Marianne"/>
          <w:sz w:val="14"/>
          <w:szCs w:val="14"/>
        </w:rPr>
        <w:t>nom</w:t>
      </w:r>
      <w:proofErr w:type="spellEnd"/>
      <w:r w:rsidRPr="00D64AD2">
        <w:rPr>
          <w:rFonts w:ascii="Marianne" w:hAnsi="Marianne"/>
          <w:sz w:val="14"/>
          <w:szCs w:val="14"/>
        </w:rPr>
        <w:t xml:space="preserve"> du </w:t>
      </w:r>
      <w:proofErr w:type="spellStart"/>
      <w:r w:rsidRPr="00D64AD2">
        <w:rPr>
          <w:rFonts w:ascii="Marianne" w:hAnsi="Marianne"/>
          <w:sz w:val="14"/>
          <w:szCs w:val="14"/>
        </w:rPr>
        <w:t>groupement</w:t>
      </w:r>
      <w:proofErr w:type="spellEnd"/>
      <w:r w:rsidRPr="00D64AD2">
        <w:rPr>
          <w:rFonts w:ascii="Marianne" w:hAnsi="Marianne"/>
          <w:sz w:val="14"/>
          <w:szCs w:val="14"/>
        </w:rPr>
        <w:t xml:space="preserve">. La </w:t>
      </w:r>
      <w:proofErr w:type="spellStart"/>
      <w:r w:rsidRPr="00D64AD2">
        <w:rPr>
          <w:rFonts w:ascii="Marianne" w:hAnsi="Marianne"/>
          <w:sz w:val="14"/>
          <w:szCs w:val="14"/>
        </w:rPr>
        <w:t>personne</w:t>
      </w:r>
      <w:proofErr w:type="spellEnd"/>
      <w:r w:rsidRPr="00D64AD2">
        <w:rPr>
          <w:rFonts w:ascii="Marianne" w:hAnsi="Marianne"/>
          <w:sz w:val="14"/>
          <w:szCs w:val="14"/>
        </w:rPr>
        <w:t xml:space="preserve"> </w:t>
      </w:r>
      <w:proofErr w:type="spellStart"/>
      <w:r w:rsidRPr="00D64AD2">
        <w:rPr>
          <w:rFonts w:ascii="Marianne" w:hAnsi="Marianne"/>
          <w:sz w:val="14"/>
          <w:szCs w:val="14"/>
        </w:rPr>
        <w:t>signant</w:t>
      </w:r>
      <w:proofErr w:type="spellEnd"/>
      <w:r w:rsidRPr="00D64AD2">
        <w:rPr>
          <w:rFonts w:ascii="Marianne" w:hAnsi="Marianne"/>
          <w:sz w:val="14"/>
          <w:szCs w:val="14"/>
        </w:rPr>
        <w:t xml:space="preserve"> </w:t>
      </w:r>
      <w:proofErr w:type="spellStart"/>
      <w:r w:rsidRPr="00D64AD2">
        <w:rPr>
          <w:rFonts w:ascii="Marianne" w:hAnsi="Marianne"/>
          <w:sz w:val="14"/>
          <w:szCs w:val="14"/>
        </w:rPr>
        <w:t>l’offre</w:t>
      </w:r>
      <w:proofErr w:type="spellEnd"/>
      <w:r w:rsidRPr="00D64AD2">
        <w:rPr>
          <w:rFonts w:ascii="Marianne" w:hAnsi="Marianne"/>
          <w:sz w:val="14"/>
          <w:szCs w:val="14"/>
        </w:rPr>
        <w:t xml:space="preserve">, la </w:t>
      </w:r>
      <w:proofErr w:type="spellStart"/>
      <w:r w:rsidRPr="00D64AD2">
        <w:rPr>
          <w:rFonts w:ascii="Marianne" w:hAnsi="Marianne"/>
          <w:sz w:val="14"/>
          <w:szCs w:val="14"/>
        </w:rPr>
        <w:t>proposition</w:t>
      </w:r>
      <w:proofErr w:type="spellEnd"/>
      <w:r w:rsidRPr="00D64AD2">
        <w:rPr>
          <w:rFonts w:ascii="Marianne" w:hAnsi="Marianne"/>
          <w:sz w:val="14"/>
          <w:szCs w:val="14"/>
        </w:rPr>
        <w:t xml:space="preserve"> </w:t>
      </w:r>
      <w:proofErr w:type="spellStart"/>
      <w:r w:rsidRPr="00D64AD2">
        <w:rPr>
          <w:rFonts w:ascii="Marianne" w:hAnsi="Marianne"/>
          <w:sz w:val="14"/>
          <w:szCs w:val="14"/>
        </w:rPr>
        <w:t>ou</w:t>
      </w:r>
      <w:proofErr w:type="spellEnd"/>
      <w:r w:rsidRPr="00D64AD2">
        <w:rPr>
          <w:rFonts w:ascii="Marianne" w:hAnsi="Marianne"/>
          <w:sz w:val="14"/>
          <w:szCs w:val="14"/>
        </w:rPr>
        <w:t xml:space="preserve"> la candidatura </w:t>
      </w:r>
      <w:proofErr w:type="spellStart"/>
      <w:r w:rsidRPr="00D64AD2">
        <w:rPr>
          <w:rFonts w:ascii="Marianne" w:hAnsi="Marianne"/>
          <w:sz w:val="14"/>
          <w:szCs w:val="14"/>
        </w:rPr>
        <w:t>au</w:t>
      </w:r>
      <w:proofErr w:type="spellEnd"/>
      <w:r w:rsidRPr="00D64AD2">
        <w:rPr>
          <w:rFonts w:ascii="Marianne" w:hAnsi="Marianne"/>
          <w:sz w:val="14"/>
          <w:szCs w:val="14"/>
        </w:rPr>
        <w:t xml:space="preserve"> </w:t>
      </w:r>
      <w:proofErr w:type="spellStart"/>
      <w:r w:rsidRPr="00D64AD2">
        <w:rPr>
          <w:rFonts w:ascii="Marianne" w:hAnsi="Marianne"/>
          <w:sz w:val="14"/>
          <w:szCs w:val="14"/>
        </w:rPr>
        <w:t>nom</w:t>
      </w:r>
      <w:proofErr w:type="spellEnd"/>
      <w:r w:rsidRPr="00D64AD2">
        <w:rPr>
          <w:rFonts w:ascii="Marianne" w:hAnsi="Marianne"/>
          <w:sz w:val="14"/>
          <w:szCs w:val="14"/>
        </w:rPr>
        <w:t xml:space="preserve"> du </w:t>
      </w:r>
      <w:proofErr w:type="spellStart"/>
      <w:r w:rsidRPr="00D64AD2">
        <w:rPr>
          <w:rFonts w:ascii="Marianne" w:hAnsi="Marianne"/>
          <w:sz w:val="14"/>
          <w:szCs w:val="14"/>
        </w:rPr>
        <w:t>soumissionnaire</w:t>
      </w:r>
      <w:proofErr w:type="spellEnd"/>
      <w:r w:rsidRPr="00D64AD2">
        <w:rPr>
          <w:rFonts w:ascii="Marianne" w:hAnsi="Marianne"/>
          <w:sz w:val="14"/>
          <w:szCs w:val="14"/>
        </w:rPr>
        <w:t xml:space="preserve"> </w:t>
      </w:r>
      <w:proofErr w:type="spellStart"/>
      <w:r w:rsidRPr="00D64AD2">
        <w:rPr>
          <w:rFonts w:ascii="Marianne" w:hAnsi="Marianne"/>
          <w:sz w:val="14"/>
          <w:szCs w:val="14"/>
        </w:rPr>
        <w:t>ou</w:t>
      </w:r>
      <w:proofErr w:type="spellEnd"/>
      <w:r w:rsidRPr="00D64AD2">
        <w:rPr>
          <w:rFonts w:ascii="Marianne" w:hAnsi="Marianne"/>
          <w:sz w:val="14"/>
          <w:szCs w:val="14"/>
        </w:rPr>
        <w:t xml:space="preserve"> du </w:t>
      </w:r>
      <w:proofErr w:type="spellStart"/>
      <w:r w:rsidRPr="00D64AD2">
        <w:rPr>
          <w:rFonts w:ascii="Marianne" w:hAnsi="Marianne"/>
          <w:sz w:val="14"/>
          <w:szCs w:val="14"/>
        </w:rPr>
        <w:t>consultant</w:t>
      </w:r>
      <w:proofErr w:type="spellEnd"/>
      <w:r w:rsidRPr="00D64AD2">
        <w:rPr>
          <w:rFonts w:ascii="Marianne" w:hAnsi="Marianne"/>
          <w:sz w:val="14"/>
          <w:szCs w:val="14"/>
        </w:rPr>
        <w:t xml:space="preserve"> </w:t>
      </w:r>
      <w:proofErr w:type="spellStart"/>
      <w:r w:rsidRPr="00D64AD2">
        <w:rPr>
          <w:rFonts w:ascii="Marianne" w:hAnsi="Marianne"/>
          <w:sz w:val="14"/>
          <w:szCs w:val="14"/>
        </w:rPr>
        <w:t>joindra</w:t>
      </w:r>
      <w:proofErr w:type="spellEnd"/>
      <w:r w:rsidRPr="00D64AD2">
        <w:rPr>
          <w:rFonts w:ascii="Marianne" w:hAnsi="Marianne"/>
          <w:sz w:val="14"/>
          <w:szCs w:val="14"/>
        </w:rPr>
        <w:t xml:space="preserve"> à </w:t>
      </w:r>
      <w:proofErr w:type="spellStart"/>
      <w:r w:rsidRPr="00D64AD2">
        <w:rPr>
          <w:rFonts w:ascii="Marianne" w:hAnsi="Marianne"/>
          <w:sz w:val="14"/>
          <w:szCs w:val="14"/>
        </w:rPr>
        <w:t>celle-ci</w:t>
      </w:r>
      <w:proofErr w:type="spellEnd"/>
      <w:r w:rsidRPr="00D64AD2">
        <w:rPr>
          <w:rFonts w:ascii="Marianne" w:hAnsi="Marianne"/>
          <w:sz w:val="14"/>
          <w:szCs w:val="14"/>
        </w:rPr>
        <w:t xml:space="preserve"> le </w:t>
      </w:r>
      <w:proofErr w:type="spellStart"/>
      <w:r w:rsidRPr="00D64AD2">
        <w:rPr>
          <w:rFonts w:ascii="Marianne" w:hAnsi="Marianne"/>
          <w:sz w:val="14"/>
          <w:szCs w:val="14"/>
        </w:rPr>
        <w:t>pouvoir</w:t>
      </w:r>
      <w:proofErr w:type="spellEnd"/>
      <w:r w:rsidRPr="00D64AD2">
        <w:rPr>
          <w:rFonts w:ascii="Marianne" w:hAnsi="Marianne"/>
          <w:sz w:val="14"/>
          <w:szCs w:val="14"/>
        </w:rPr>
        <w:t xml:space="preserve"> confié par le </w:t>
      </w:r>
      <w:proofErr w:type="spellStart"/>
      <w:r w:rsidRPr="00D64AD2">
        <w:rPr>
          <w:rFonts w:ascii="Marianne" w:hAnsi="Marianne"/>
          <w:sz w:val="14"/>
          <w:szCs w:val="14"/>
        </w:rPr>
        <w:t>soumissionnaire</w:t>
      </w:r>
      <w:proofErr w:type="spellEnd"/>
      <w:r w:rsidRPr="00D64AD2">
        <w:rPr>
          <w:rFonts w:ascii="Marianne" w:hAnsi="Marianne"/>
          <w:sz w:val="14"/>
          <w:szCs w:val="14"/>
        </w:rPr>
        <w:t xml:space="preserve"> </w:t>
      </w:r>
      <w:proofErr w:type="spellStart"/>
      <w:r w:rsidRPr="00D64AD2">
        <w:rPr>
          <w:rFonts w:ascii="Marianne" w:hAnsi="Marianne"/>
          <w:sz w:val="14"/>
          <w:szCs w:val="14"/>
        </w:rPr>
        <w:t>ou</w:t>
      </w:r>
      <w:proofErr w:type="spellEnd"/>
      <w:r w:rsidRPr="00D64AD2">
        <w:rPr>
          <w:rFonts w:ascii="Marianne" w:hAnsi="Marianne"/>
          <w:sz w:val="14"/>
          <w:szCs w:val="14"/>
        </w:rPr>
        <w:t xml:space="preserve"> le </w:t>
      </w:r>
      <w:proofErr w:type="spellStart"/>
      <w:r w:rsidRPr="00D64AD2">
        <w:rPr>
          <w:rFonts w:ascii="Marianne" w:hAnsi="Marianne"/>
          <w:sz w:val="14"/>
          <w:szCs w:val="14"/>
        </w:rPr>
        <w:t>consultant</w:t>
      </w:r>
      <w:proofErr w:type="spellEnd"/>
      <w:r w:rsidRPr="00D64AD2">
        <w:rPr>
          <w:rFonts w:ascii="Marianne" w:hAnsi="Marianne"/>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DBD27" w14:textId="3866EAC3" w:rsidR="006D5757" w:rsidRDefault="00610612">
    <w:pPr>
      <w:pStyle w:val="En-tte"/>
    </w:pPr>
    <w:r>
      <w:rPr>
        <w:noProof/>
      </w:rPr>
      <w:drawing>
        <wp:inline distT="0" distB="0" distL="0" distR="0" wp14:anchorId="5F491667" wp14:editId="17DCFB6B">
          <wp:extent cx="5753100" cy="1228725"/>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6323" cy="12315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44AAEE"/>
    <w:lvl w:ilvl="0" w:tplc="F0BCDE4A">
      <w:start w:val="1"/>
      <w:numFmt w:val="decimal"/>
      <w:lvlText w:val="(%1)"/>
      <w:lvlJc w:val="left"/>
      <w:pPr>
        <w:tabs>
          <w:tab w:val="num" w:pos="1440"/>
        </w:tabs>
        <w:ind w:left="1440" w:hanging="360"/>
      </w:pPr>
      <w:rPr>
        <w:rFonts w:cs="Times New Roman"/>
        <w:spacing w:val="0"/>
      </w:rPr>
    </w:lvl>
    <w:lvl w:ilvl="1" w:tplc="040C0019">
      <w:start w:val="1"/>
      <w:numFmt w:val="lowerLetter"/>
      <w:lvlText w:val="%2."/>
      <w:lvlJc w:val="left"/>
      <w:pPr>
        <w:tabs>
          <w:tab w:val="num" w:pos="2160"/>
        </w:tabs>
        <w:ind w:left="2160" w:hanging="360"/>
      </w:pPr>
      <w:rPr>
        <w:rFonts w:cs="Times New Roman"/>
        <w:spacing w:val="0"/>
      </w:rPr>
    </w:lvl>
    <w:lvl w:ilvl="2" w:tplc="040C001B">
      <w:start w:val="1"/>
      <w:numFmt w:val="lowerRoman"/>
      <w:lvlText w:val="%3."/>
      <w:lvlJc w:val="right"/>
      <w:pPr>
        <w:tabs>
          <w:tab w:val="num" w:pos="2880"/>
        </w:tabs>
        <w:ind w:left="2880" w:hanging="180"/>
      </w:pPr>
      <w:rPr>
        <w:rFonts w:cs="Times New Roman"/>
        <w:spacing w:val="0"/>
      </w:rPr>
    </w:lvl>
    <w:lvl w:ilvl="3" w:tplc="040C000F">
      <w:start w:val="1"/>
      <w:numFmt w:val="decimal"/>
      <w:lvlText w:val="%4."/>
      <w:lvlJc w:val="left"/>
      <w:pPr>
        <w:tabs>
          <w:tab w:val="num" w:pos="3600"/>
        </w:tabs>
        <w:ind w:left="3600" w:hanging="360"/>
      </w:pPr>
      <w:rPr>
        <w:rFonts w:cs="Times New Roman"/>
        <w:spacing w:val="0"/>
      </w:rPr>
    </w:lvl>
    <w:lvl w:ilvl="4" w:tplc="040C0019">
      <w:start w:val="1"/>
      <w:numFmt w:val="lowerLetter"/>
      <w:lvlText w:val="%5."/>
      <w:lvlJc w:val="left"/>
      <w:pPr>
        <w:tabs>
          <w:tab w:val="num" w:pos="4320"/>
        </w:tabs>
        <w:ind w:left="4320" w:hanging="360"/>
      </w:pPr>
      <w:rPr>
        <w:rFonts w:cs="Times New Roman"/>
        <w:spacing w:val="0"/>
      </w:rPr>
    </w:lvl>
    <w:lvl w:ilvl="5" w:tplc="040C001B">
      <w:start w:val="1"/>
      <w:numFmt w:val="lowerRoman"/>
      <w:lvlText w:val="%6."/>
      <w:lvlJc w:val="right"/>
      <w:pPr>
        <w:tabs>
          <w:tab w:val="num" w:pos="5040"/>
        </w:tabs>
        <w:ind w:left="5040" w:hanging="180"/>
      </w:pPr>
      <w:rPr>
        <w:rFonts w:cs="Times New Roman"/>
        <w:spacing w:val="0"/>
      </w:rPr>
    </w:lvl>
    <w:lvl w:ilvl="6" w:tplc="040C000F">
      <w:start w:val="1"/>
      <w:numFmt w:val="decimal"/>
      <w:lvlText w:val="%7."/>
      <w:lvlJc w:val="left"/>
      <w:pPr>
        <w:tabs>
          <w:tab w:val="num" w:pos="5760"/>
        </w:tabs>
        <w:ind w:left="5760" w:hanging="360"/>
      </w:pPr>
      <w:rPr>
        <w:rFonts w:cs="Times New Roman"/>
        <w:spacing w:val="0"/>
      </w:rPr>
    </w:lvl>
    <w:lvl w:ilvl="7" w:tplc="040C0019">
      <w:start w:val="1"/>
      <w:numFmt w:val="lowerLetter"/>
      <w:lvlText w:val="%8."/>
      <w:lvlJc w:val="left"/>
      <w:pPr>
        <w:tabs>
          <w:tab w:val="num" w:pos="6480"/>
        </w:tabs>
        <w:ind w:left="6480" w:hanging="360"/>
      </w:pPr>
      <w:rPr>
        <w:rFonts w:cs="Times New Roman"/>
        <w:spacing w:val="0"/>
      </w:rPr>
    </w:lvl>
    <w:lvl w:ilvl="8" w:tplc="040C001B">
      <w:start w:val="1"/>
      <w:numFmt w:val="lowerRoman"/>
      <w:lvlText w:val="%9."/>
      <w:lvlJc w:val="right"/>
      <w:pPr>
        <w:tabs>
          <w:tab w:val="num" w:pos="7200"/>
        </w:tabs>
        <w:ind w:left="7200" w:hanging="180"/>
      </w:pPr>
      <w:rPr>
        <w:rFonts w:cs="Times New Roman"/>
        <w:spacing w:val="0"/>
      </w:rPr>
    </w:lvl>
  </w:abstractNum>
  <w:abstractNum w:abstractNumId="1"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22249B4"/>
    <w:multiLevelType w:val="multilevel"/>
    <w:tmpl w:val="8B500B58"/>
    <w:lvl w:ilvl="0">
      <w:start w:val="2"/>
      <w:numFmt w:val="decimal"/>
      <w:lvlText w:val="%1"/>
      <w:lvlJc w:val="left"/>
      <w:pPr>
        <w:ind w:left="360" w:hanging="360"/>
      </w:pPr>
    </w:lvl>
    <w:lvl w:ilvl="1">
      <w:start w:val="1"/>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520" w:hanging="1440"/>
      </w:pPr>
    </w:lvl>
  </w:abstractNum>
  <w:abstractNum w:abstractNumId="3" w15:restartNumberingAfterBreak="0">
    <w:nsid w:val="5E37269A"/>
    <w:multiLevelType w:val="hybridMultilevel"/>
    <w:tmpl w:val="2DD6F8A6"/>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9A7E544A">
      <w:start w:val="1"/>
      <w:numFmt w:val="low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757"/>
    <w:rsid w:val="002348E3"/>
    <w:rsid w:val="003515AD"/>
    <w:rsid w:val="00610612"/>
    <w:rsid w:val="006D5757"/>
    <w:rsid w:val="00B07283"/>
    <w:rsid w:val="00D64AD2"/>
    <w:rsid w:val="00F260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0479A8"/>
  <w15:chartTrackingRefBased/>
  <w15:docId w15:val="{20D6003C-E817-478B-AA12-DF8C53A9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757"/>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6D5757"/>
    <w:pPr>
      <w:suppressAutoHyphens/>
      <w:ind w:left="540" w:right="-72"/>
      <w:jc w:val="both"/>
    </w:pPr>
    <w:rPr>
      <w:sz w:val="24"/>
    </w:rPr>
  </w:style>
  <w:style w:type="paragraph" w:styleId="Notedebasdepage">
    <w:name w:val="footnote text"/>
    <w:aliases w:val="Footnote Text Char1,fn Char1,ADB Char1,single space Char,footnote text Char Char,Footnote Text Char Char,fn Char Char,ADB Char Char,single space Char Char Char,Fußnotentextf Char,single space Char  Char"/>
    <w:basedOn w:val="Normal"/>
    <w:link w:val="NotedebasdepageCar"/>
    <w:uiPriority w:val="99"/>
    <w:semiHidden/>
    <w:rsid w:val="006D5757"/>
    <w:pPr>
      <w:jc w:val="both"/>
    </w:pPr>
    <w:rPr>
      <w:lang w:val="es-ES_tradnl"/>
    </w:rPr>
  </w:style>
  <w:style w:type="character" w:customStyle="1" w:styleId="NotedebasdepageCar">
    <w:name w:val="Note de bas de page Car"/>
    <w:aliases w:val="Footnote Text Char1 Car,fn Char1 Car,ADB Char1 Car,single space Char Car,footnote text Char Char Car,Footnote Text Char Char Car,fn Char Char Car,ADB Char Char Car,single space Char Char Char Car,Fußnotentextf Char Car"/>
    <w:basedOn w:val="Policepardfaut"/>
    <w:link w:val="Notedebasdepage"/>
    <w:uiPriority w:val="99"/>
    <w:semiHidden/>
    <w:rsid w:val="006D5757"/>
    <w:rPr>
      <w:rFonts w:ascii="Times New Roman" w:eastAsia="Times New Roman" w:hAnsi="Times New Roman" w:cs="Times New Roman"/>
      <w:sz w:val="20"/>
      <w:szCs w:val="20"/>
      <w:lang w:val="es-ES_tradnl" w:eastAsia="fr-FR"/>
    </w:rPr>
  </w:style>
  <w:style w:type="character" w:styleId="Appelnotedebasdep">
    <w:name w:val="footnote reference"/>
    <w:uiPriority w:val="99"/>
    <w:semiHidden/>
    <w:rsid w:val="006D5757"/>
    <w:rPr>
      <w:vertAlign w:val="superscript"/>
    </w:rPr>
  </w:style>
  <w:style w:type="paragraph" w:styleId="En-tte">
    <w:name w:val="header"/>
    <w:basedOn w:val="Normal"/>
    <w:link w:val="En-tteCar"/>
    <w:uiPriority w:val="99"/>
    <w:unhideWhenUsed/>
    <w:rsid w:val="006D5757"/>
    <w:pPr>
      <w:tabs>
        <w:tab w:val="center" w:pos="4536"/>
        <w:tab w:val="right" w:pos="9072"/>
      </w:tabs>
    </w:pPr>
  </w:style>
  <w:style w:type="character" w:customStyle="1" w:styleId="En-tteCar">
    <w:name w:val="En-tête Car"/>
    <w:basedOn w:val="Policepardfaut"/>
    <w:link w:val="En-tte"/>
    <w:uiPriority w:val="99"/>
    <w:rsid w:val="006D575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D5757"/>
    <w:pPr>
      <w:tabs>
        <w:tab w:val="center" w:pos="4536"/>
        <w:tab w:val="right" w:pos="9072"/>
      </w:tabs>
    </w:pPr>
  </w:style>
  <w:style w:type="character" w:customStyle="1" w:styleId="PieddepageCar">
    <w:name w:val="Pied de page Car"/>
    <w:basedOn w:val="Policepardfaut"/>
    <w:link w:val="Pieddepage"/>
    <w:uiPriority w:val="99"/>
    <w:rsid w:val="006D5757"/>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orldbank.org/deba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1623</Words>
  <Characters>8932</Characters>
  <Application>Microsoft Office Word</Application>
  <DocSecurity>0</DocSecurity>
  <Lines>74</Lines>
  <Paragraphs>21</Paragraphs>
  <ScaleCrop>false</ScaleCrop>
  <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LEFEUVRE Anne</dc:creator>
  <cp:keywords/>
  <dc:description/>
  <cp:lastModifiedBy>FLORIANT Cécile</cp:lastModifiedBy>
  <cp:revision>2</cp:revision>
  <dcterms:created xsi:type="dcterms:W3CDTF">2025-09-11T12:50:00Z</dcterms:created>
  <dcterms:modified xsi:type="dcterms:W3CDTF">2025-09-11T12:50:00Z</dcterms:modified>
</cp:coreProperties>
</file>